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Pr/>
      <w:r>
        <w:rPr>
          <w:rFonts w:ascii="Calibri" w:hAnsi="Calibri" w:eastAsia="Calibri" w:cs="Calibri"/>
          <w:sz w:val="22"/>
          <w:szCs w:val="22"/>
          <w:b w:val="1"/>
          <w:bCs w:val="1"/>
        </w:rPr>
        <w:t xml:space="preserve">Lavaojos de emergencia mural</w:t>
      </w:r>
    </w:p>
    <w:p>
      <w:pPr/>
      <w:r>
        <w:rPr>
          <w:rFonts w:ascii="Calibri" w:hAnsi="Calibri" w:eastAsia="Calibri" w:cs="Calibri"/>
          <w:sz w:val="22"/>
          <w:szCs w:val="22"/>
        </w:rPr>
        <w:t xml:space="preserve">Con control manual</w:t>
      </w:r>
    </w:p>
    <w:p>
      <w:pPr/>
      <w:r>
        <w:rPr>
          <w:rFonts w:ascii="Calibri" w:hAnsi="Calibri" w:eastAsia="Calibri" w:cs="Calibri"/>
          <w:sz w:val="22"/>
          <w:szCs w:val="22"/>
        </w:rPr>
        <w:t xml:space="preserve"/>
      </w:r>
    </w:p>
    <w:p/>
    <w:p>
      <w:pPr/>
      <w:r>
        <w:rPr>
          <w:rFonts w:ascii="Calibri" w:hAnsi="Calibri" w:eastAsia="Calibri" w:cs="Calibri"/>
          <w:sz w:val="22"/>
          <w:szCs w:val="22"/>
        </w:rPr>
        <w:t xml:space="preserve">Referencia: </w:t>
      </w:r>
      <w:r>
        <w:rPr>
          <w:rFonts w:ascii="Calibri" w:hAnsi="Calibri" w:eastAsia="Calibri" w:cs="Calibri"/>
          <w:color w:val="0088bc"/>
          <w:sz w:val="22"/>
          <w:szCs w:val="22"/>
          <w:b w:val="1"/>
          <w:bCs w:val="1"/>
        </w:rPr>
        <w:t xml:space="preserve">9102</w:t>
      </w:r>
    </w:p>
    <w:p/>
    <w:p/>
    <w:p>
      <w:pPr>
        <w:spacing w:line="336" w:lineRule="auto"/>
      </w:pPr>
      <w:r>
        <w:rPr>
          <w:rFonts w:ascii="Calibri" w:hAnsi="Calibri" w:eastAsia="Calibri" w:cs="Calibri"/>
          <w:sz w:val="22"/>
          <w:szCs w:val="22"/>
          <w:u w:val="single"/>
        </w:rPr>
        <w:t xml:space="preserve">Información de prescripción</w:t>
      </w:r>
    </w:p>
    <w:p/>
    <w:p>
      <w:pPr>
        <w:spacing w:line="288" w:lineRule="auto"/>
      </w:pPr>
      <w:r>
        <w:rPr>
          <w:rFonts w:ascii="Calibri" w:hAnsi="Calibri" w:eastAsia="Calibri" w:cs="Calibri"/>
          <w:sz w:val="22"/>
          <w:szCs w:val="22"/>
        </w:rPr>
        <w:t xml:space="preserve">Lavaojos de emergencia mural con control manual, equipado con: 
</w:t>
      </w:r>
    </w:p>
    <w:p>
      <w:pPr>
        <w:spacing w:line="288" w:lineRule="auto"/>
      </w:pPr>
      <w:r>
        <w:rPr>
          <w:rFonts w:ascii="Calibri" w:hAnsi="Calibri" w:eastAsia="Calibri" w:cs="Calibri"/>
          <w:sz w:val="22"/>
          <w:szCs w:val="22"/>
        </w:rPr>
        <w:t xml:space="preserve">Lavabo de Ø 250 mm, de acero inoxidable 304, acabado epoxi verde. 
</w:t>
      </w:r>
    </w:p>
    <w:p>
      <w:pPr>
        <w:spacing w:line="288" w:lineRule="auto"/>
      </w:pPr>
      <w:r>
        <w:rPr>
          <w:rFonts w:ascii="Calibri" w:hAnsi="Calibri" w:eastAsia="Calibri" w:cs="Calibri"/>
          <w:sz w:val="22"/>
          <w:szCs w:val="22"/>
        </w:rPr>
        <w:t xml:space="preserve">2 cabezales de aspersión del lavaojos equipados con tapas de protección de ABS antigolpes, verdes, que se quitan automáticamente cuando sale el agua.
</w:t>
      </w:r>
    </w:p>
    <w:p>
      <w:pPr>
        <w:spacing w:line="288" w:lineRule="auto"/>
      </w:pPr>
      <w:r>
        <w:rPr>
          <w:rFonts w:ascii="Calibri" w:hAnsi="Calibri" w:eastAsia="Calibri" w:cs="Calibri"/>
          <w:sz w:val="22"/>
          <w:szCs w:val="22"/>
        </w:rPr>
        <w:t xml:space="preserve">Apertura y cierre rápidos mediante válvulas con 1/4 de giro de latón niquelado.
</w:t>
      </w:r>
    </w:p>
    <w:p>
      <w:pPr>
        <w:spacing w:line="288" w:lineRule="auto"/>
      </w:pPr>
      <w:r>
        <w:rPr>
          <w:rFonts w:ascii="Calibri" w:hAnsi="Calibri" w:eastAsia="Calibri" w:cs="Calibri"/>
          <w:sz w:val="22"/>
          <w:szCs w:val="22"/>
        </w:rPr>
        <w:t xml:space="preserve">Garantía 30 años.
</w:t>
      </w:r>
    </w:p>
    <w:p>
      <w:pPr>
        <w:spacing w:line="288" w:lineRule="auto"/>
      </w:pPr>
      <w:r>
        <w:rPr>
          <w:rFonts w:ascii="Calibri" w:hAnsi="Calibri" w:eastAsia="Calibri" w:cs="Calibri"/>
          <w:sz w:val="22"/>
          <w:szCs w:val="22"/>
        </w:rPr>
        <w:t xml:space="preserve">
</w:t>
      </w:r>
    </w:p>
    <w:p>
      <w:pPr>
        <w:spacing w:line="288" w:lineRule="auto"/>
      </w:pPr>
      <w:r>
        <w:rPr>
          <w:rFonts w:ascii="Calibri" w:hAnsi="Calibri" w:eastAsia="Calibri" w:cs="Calibri"/>
          <w:sz w:val="22"/>
          <w:szCs w:val="22"/>
        </w:rPr>
        <w:t xml:space="preserve">Funcionamiento:
</w:t>
      </w:r>
    </w:p>
    <w:p>
      <w:pPr>
        <w:spacing w:line="288" w:lineRule="auto"/>
      </w:pPr>
      <w:r>
        <w:rPr>
          <w:rFonts w:ascii="Calibri" w:hAnsi="Calibri" w:eastAsia="Calibri" w:cs="Calibri"/>
          <w:sz w:val="22"/>
          <w:szCs w:val="22"/>
        </w:rPr>
        <w:t xml:space="preserve">Accionamiento de la salida de agua presionando la placa manual. El lavaojos no se detiene cuando se deja de presionar la placa manual. Para detener la salida de agua, tire de la placa manual en el sentido inverso. 
</w:t>
      </w:r>
    </w:p>
    <w:p>
      <w:pPr>
        <w:spacing w:line="288" w:lineRule="auto"/>
      </w:pPr>
      <w:r>
        <w:rPr>
          <w:rFonts w:ascii="Calibri" w:hAnsi="Calibri" w:eastAsia="Calibri" w:cs="Calibri"/>
          <w:sz w:val="22"/>
          <w:szCs w:val="22"/>
        </w:rPr>
        <w:t xml:space="preserve">Caudal 20 l/min a 3 bar dinámico, aireadores doble filtro de acero inoxidable.
</w:t>
      </w:r>
    </w:p>
    <w:p>
      <w:pPr>
        <w:spacing w:line="288" w:lineRule="auto"/>
      </w:pPr>
      <w:r>
        <w:rPr>
          <w:rFonts w:ascii="Calibri" w:hAnsi="Calibri" w:eastAsia="Calibri" w:cs="Calibri"/>
          <w:sz w:val="22"/>
          <w:szCs w:val="22"/>
        </w:rPr>
        <w:t xml:space="preserve">Alimentación de agua M1/2".
</w:t>
      </w:r>
    </w:p>
    <w:p>
      <w:pPr>
        <w:spacing w:line="288" w:lineRule="auto"/>
      </w:pPr>
      <w:r>
        <w:rPr>
          <w:rFonts w:ascii="Calibri" w:hAnsi="Calibri" w:eastAsia="Calibri" w:cs="Calibri"/>
          <w:sz w:val="22"/>
          <w:szCs w:val="22"/>
        </w:rPr>
        <w:t xml:space="preserve">Tubería de acero galvanizado, acabado epoxi gris.
</w:t>
      </w:r>
    </w:p>
    <w:p>
      <w:pPr>
        <w:spacing w:line="288" w:lineRule="auto"/>
      </w:pPr>
      <w:r>
        <w:rPr>
          <w:rFonts w:ascii="Calibri" w:hAnsi="Calibri" w:eastAsia="Calibri" w:cs="Calibri"/>
          <w:sz w:val="22"/>
          <w:szCs w:val="22"/>
        </w:rPr>
        <w:t xml:space="preserve">Placa de mano de acero galvanizado, acabado epoxi verde.
</w:t>
      </w:r>
    </w:p>
    <w:p>
      <w:pPr>
        <w:spacing w:line="288" w:lineRule="auto"/>
      </w:pPr>
      <w:r>
        <w:rPr>
          <w:rFonts w:ascii="Calibri" w:hAnsi="Calibri" w:eastAsia="Calibri" w:cs="Calibri"/>
          <w:sz w:val="22"/>
          <w:szCs w:val="22"/>
        </w:rPr>
        <w:t xml:space="preserve">Fijación mural mediante pletina de latón (tornillos no suministrados).
</w:t>
      </w:r>
    </w:p>
    <w:p>
      <w:pPr>
        <w:spacing w:line="288" w:lineRule="auto"/>
      </w:pPr>
      <w:r>
        <w:rPr>
          <w:rFonts w:ascii="Calibri" w:hAnsi="Calibri" w:eastAsia="Calibri" w:cs="Calibri"/>
          <w:sz w:val="22"/>
          <w:szCs w:val="22"/>
        </w:rPr>
        <w:t xml:space="preserve">Se suministra una placa de identificación normalizada «lavaojos de emergencia».</w:t>
      </w:r>
    </w:p>
    <w:sectPr>
      <w:headerReference w:type="default" r:id="rId7"/>
      <w:pgSz w:orient="portrait" w:w="11905.511811023622" w:h="16837.79527559055"/>
      <w:pgMar w:top="1200" w:right="1500" w:bottom="1000" w:left="14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115pt; height:18.662280701754pt; margin-left:0pt; margin-top:0pt; mso-position-horizontal:left; mso-position-vertical:absolute;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pPr>
  </w:style>
  <w:style w:type="character" w:styleId="FootnoteReference">
    <w:name w:val="Footnote Reference"/>
    <w:semiHidden/>
    <w:unhideWhenUsed/>
    <w:rPr>
      <w:vertAlign w:val="superscript"/>
    </w:rPr>
  </w:style>
  <w:style w:type="paragraph" w:styleId="Heading1">
    <w:link w:val="Heading1Char"/>
    <w:name w:val="heading 1"/>
    <w:rPr>
      <w:color w:val="438fac"/>
      <w:sz w:val="36"/>
      <w:szCs w:val="36"/>
      <w:b w:val="1"/>
      <w:bCs w:val="1"/>
    </w:rPr>
  </w:style>
  <w:style w:type="paragraph" w:styleId="Heading2">
    <w:link w:val="Heading2Char"/>
    <w:name w:val="heading 2"/>
    <w:rPr>
      <w:color w:val="222222"/>
      <w:sz w:val="32"/>
      <w:szCs w:val="32"/>
      <w:b w:val="1"/>
      <w:bCs w:val="1"/>
    </w:rPr>
  </w:style>
  <w:style w:type="paragraph" w:styleId="Heading3">
    <w:link w:val="Heading3Char"/>
    <w:name w:val="heading 3"/>
    <w:rPr>
      <w:color w:val="222222"/>
      <w:sz w:val="28"/>
      <w:szCs w:val="28"/>
      <w:b w:val="0"/>
      <w:bCs w:val="0"/>
    </w:rPr>
  </w:style>
  <w:style w:type="paragraph" w:styleId="Heading4">
    <w:link w:val="Heading4Char"/>
    <w:name w:val="heading 4"/>
    <w:rPr>
      <w:color w:val="438fac"/>
      <w:sz w:val="26"/>
      <w:szCs w:val="26"/>
      <w:b w:val="1"/>
      <w:bCs w:val="1"/>
    </w:rPr>
  </w:style>
  <w:style w:type="paragraph" w:styleId="Heading5">
    <w:link w:val="Heading5Char"/>
    <w:name w:val="heading 5"/>
    <w:rPr>
      <w:color w:val="111111"/>
      <w:sz w:val="40"/>
      <w:szCs w:val="40"/>
      <w:b w:val="1"/>
      <w:bCs w:val="1"/>
    </w:rPr>
  </w:style>
  <w:style w:type="table" w:customStyle="1" w:styleId="TechSheet">
    <w:name w:val="TechSheet"/>
    <w:uiPriority w:val="99"/>
    <w:tblPr>
      <w:tblW w:w="0" w:type="auto"/>
      <w:tblLayout w:type="autofit"/>
      <w:bidiVisual w:val="0"/>
      <w:tblBorders>
        <w:top w:val="single" w:sz="0" w:color="ffffff"/>
        <w:left w:val="single" w:sz="0" w:color="ffffff"/>
        <w:right w:val="single" w:sz="0" w:color="ffffff"/>
        <w:bottom w:val="single" w:sz="1" w:color="999999"/>
      </w:tblBorders>
    </w:tblPr>
  </w:style>
  <w:style w:type="paragraph" w:customStyle="1" w:styleId="pStyle">
    <w:name w:val="pStyle"/>
    <w:basedOn w:val="Normal"/>
    <w:pPr>
      <w:spacing w:line="3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2026-03-24T01:48:35+01:00</dcterms:created>
  <dcterms:modified xsi:type="dcterms:W3CDTF">2026-03-24T01:48:35+01:00</dcterms:modified>
</cp:coreProperties>
</file>

<file path=docProps/custom.xml><?xml version="1.0" encoding="utf-8"?>
<Properties xmlns="http://schemas.openxmlformats.org/officeDocument/2006/custom-properties" xmlns:vt="http://schemas.openxmlformats.org/officeDocument/2006/docPropsVTypes"/>
</file>