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/>
    <w:p>
      <w:pPr/>
      <w:r>
        <w:rPr>
          <w:rFonts w:ascii="Calibri" w:hAnsi="Calibri" w:eastAsia="Calibri" w:cs="Calibri"/>
          <w:sz w:val="22"/>
          <w:szCs w:val="22"/>
          <w:b w:val="1"/>
          <w:bCs w:val="1"/>
        </w:rPr>
        <w:t xml:space="preserve">Fluxor para urinario TEMPOMATIC 4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Electrónico con pilas integradas</w:t>
      </w:r>
    </w:p>
    <w:p>
      <w:pPr/>
      <w:r>
        <w:rPr>
          <w:rFonts w:ascii="Calibri" w:hAnsi="Calibri" w:eastAsia="Calibri" w:cs="Calibri"/>
          <w:sz w:val="22"/>
          <w:szCs w:val="22"/>
        </w:rPr>
        <w:t xml:space="preserve">Acodado, tubo, boquilla. Para urinario no estándar</w:t>
      </w:r>
    </w:p>
    <w:p/>
    <w:p>
      <w:pPr/>
      <w:r>
        <w:rPr>
          <w:rFonts w:ascii="Calibri" w:hAnsi="Calibri" w:eastAsia="Calibri" w:cs="Calibri"/>
          <w:sz w:val="22"/>
          <w:szCs w:val="22"/>
        </w:rPr>
        <w:t xml:space="preserve">Referencia: </w:t>
      </w:r>
      <w:r>
        <w:rPr>
          <w:rFonts w:ascii="Calibri" w:hAnsi="Calibri" w:eastAsia="Calibri" w:cs="Calibri"/>
          <w:color w:val="0088bc"/>
          <w:sz w:val="22"/>
          <w:szCs w:val="22"/>
          <w:b w:val="1"/>
          <w:bCs w:val="1"/>
        </w:rPr>
        <w:t xml:space="preserve">479416</w:t>
      </w:r>
    </w:p>
    <w:p/>
    <w:p/>
    <w:p>
      <w:pPr>
        <w:spacing w:line="336" w:lineRule="auto"/>
      </w:pPr>
      <w:r>
        <w:rPr>
          <w:rFonts w:ascii="Calibri" w:hAnsi="Calibri" w:eastAsia="Calibri" w:cs="Calibri"/>
          <w:sz w:val="22"/>
          <w:szCs w:val="22"/>
          <w:u w:val="single"/>
        </w:rPr>
        <w:t xml:space="preserve">Información de prescripción</w:t>
      </w:r>
    </w:p>
    <w:p/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Fluxor electrónico para urinario adosado con pilas integradas: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Alimentación con pilas CR123 de litio de 6 V integradas.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Instalación mural adosada.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Electroválvula antiestancamiento y módulo electrónico integrados en el cuerpo del fluxor.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Detector de presencia infrarrojo antigolpes.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Activación cuando se aparta el usuario y después de detectar 10 segundos de presencia.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3 programas (volumen de descarga ajustable según el tipo de urinario).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Modo afluencia (exclusividad DELABIE):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corta después de cada uso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- descarga complementaria al final del periodo de afluencia.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Descarga periódica higiénica cada 24 horas después del último uso: evita el desifonamiento.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Compatible con aguas pluviales.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Caudal 0,15 l/seg a 3 bar, ajustable.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Llave de corte y de ajuste del caudal integrada.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Cuerpo monobloque de metal cromado.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Conexión M1/2".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Acodado para alimentación empotrada con tubo y boquilla de conexión de Ø 35 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Para urinarios no estándar: ancho al muro de 30 mm.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Adaptado para PMR.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Garantía 30 años.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Ideal para la rehabilitación:
</w:t>
      </w:r>
    </w:p>
    <w:p>
      <w:pPr>
        <w:spacing w:line="288" w:lineRule="auto"/>
      </w:pPr>
      <w:r>
        <w:rPr>
          <w:rFonts w:ascii="Calibri" w:hAnsi="Calibri" w:eastAsia="Calibri" w:cs="Calibri"/>
          <w:sz w:val="22"/>
          <w:szCs w:val="22"/>
        </w:rPr>
        <w:t xml:space="preserve">se instala fácilmente para sustituir cualquier fluxor temporizado.</w:t>
      </w:r>
    </w:p>
    <w:sectPr>
      <w:headerReference w:type="default" r:id="rId7"/>
      <w:pgSz w:orient="portrait" w:w="11905.511811023622" w:h="16837.79527559055"/>
      <w:pgMar w:top="1200" w:right="1500" w:bottom="1000" w:left="14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pict>
        <v:shape type="#_x0000_t75" stroked="f" style="width:115pt; height:18.662280701754pt; margin-left:0pt; margin-top:0pt; mso-position-horizontal:left; mso-position-vertical:absolute; mso-position-horizontal-relative:char; mso-position-vertical-relative:line;">
          <w10:wrap type="inline"/>
          <v:imagedata r:id="rId1" o:title=""/>
        </v:shape>
      </w:pic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  <w:pPr>
      <w:spacing w:after="0"/>
    </w:pPr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rPr>
      <w:color w:val="438fac"/>
      <w:sz w:val="36"/>
      <w:szCs w:val="36"/>
      <w:b w:val="1"/>
      <w:bCs w:val="1"/>
    </w:rPr>
  </w:style>
  <w:style w:type="paragraph" w:styleId="Heading2">
    <w:link w:val="Heading2Char"/>
    <w:name w:val="heading 2"/>
    <w:rPr>
      <w:color w:val="222222"/>
      <w:sz w:val="32"/>
      <w:szCs w:val="32"/>
      <w:b w:val="1"/>
      <w:bCs w:val="1"/>
    </w:rPr>
  </w:style>
  <w:style w:type="paragraph" w:styleId="Heading3">
    <w:link w:val="Heading3Char"/>
    <w:name w:val="heading 3"/>
    <w:rPr>
      <w:color w:val="222222"/>
      <w:sz w:val="28"/>
      <w:szCs w:val="28"/>
      <w:b w:val="0"/>
      <w:bCs w:val="0"/>
    </w:rPr>
  </w:style>
  <w:style w:type="paragraph" w:styleId="Heading4">
    <w:link w:val="Heading4Char"/>
    <w:name w:val="heading 4"/>
    <w:rPr>
      <w:color w:val="438fac"/>
      <w:sz w:val="26"/>
      <w:szCs w:val="26"/>
      <w:b w:val="1"/>
      <w:bCs w:val="1"/>
    </w:rPr>
  </w:style>
  <w:style w:type="paragraph" w:styleId="Heading5">
    <w:link w:val="Heading5Char"/>
    <w:name w:val="heading 5"/>
    <w:rPr>
      <w:color w:val="111111"/>
      <w:sz w:val="40"/>
      <w:szCs w:val="40"/>
      <w:b w:val="1"/>
      <w:bCs w:val="1"/>
    </w:rPr>
  </w:style>
  <w:style w:type="table" w:customStyle="1" w:styleId="TechSheet">
    <w:name w:val="TechSheet"/>
    <w:uiPriority w:val="99"/>
    <w:tblPr>
      <w:tblW w:w="0" w:type="auto"/>
      <w:tblLayout w:type="autofit"/>
      <w:bidiVisual w:val="0"/>
      <w:tblBorders>
        <w:top w:val="single" w:sz="0" w:color="ffffff"/>
        <w:left w:val="single" w:sz="0" w:color="ffffff"/>
        <w:right w:val="single" w:sz="0" w:color="ffffff"/>
        <w:bottom w:val="single" w:sz="1" w:color="999999"/>
      </w:tblBorders>
    </w:tblPr>
  </w:style>
  <w:style w:type="paragraph" w:customStyle="1" w:styleId="pStyle">
    <w:name w:val="pStyle"/>
    <w:basedOn w:val="Normal"/>
    <w:pPr>
      <w:spacing w:line="340" w:lineRule="auto"/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eader" Target="header1.xml"/></Relationships>
</file>

<file path=word/_rels/header1.xml.rels><?xml version="1.0" encoding="UTF-8" standalone="yes"?>
<Relationships xmlns="http://schemas.openxmlformats.org/package/2006/relationships"><Relationship Id="rId1" Type="http://schemas.openxmlformats.org/officeDocument/2006/relationships/image" Target="media/header1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2026-03-17T02:06:22+01:00</dcterms:created>
  <dcterms:modified xsi:type="dcterms:W3CDTF">2026-03-17T02:06:22+01:00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